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Prevention of Carbon Emissions from 250 Yonge Street Building,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Toronto, Ontario, Canada</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Name: </w:t>
      </w:r>
      <w:r>
        <w:rPr>
          <w:rFonts w:ascii="Times New Roman" w:cs="Times New Roman" w:hAnsi="Times New Roman"/>
          <w:sz w:val="24"/>
          <w:szCs w:val="24"/>
        </w:rPr>
        <w:t>Shadman</w:t>
      </w:r>
      <w:r>
        <w:rPr>
          <w:rFonts w:ascii="Times New Roman" w:cs="Times New Roman" w:hAnsi="Times New Roman"/>
          <w:sz w:val="24"/>
          <w:szCs w:val="24"/>
        </w:rPr>
        <w:t xml:space="preserve"> </w:t>
      </w:r>
      <w:r>
        <w:rPr>
          <w:rFonts w:ascii="Times New Roman" w:cs="Times New Roman" w:hAnsi="Times New Roman"/>
          <w:sz w:val="24"/>
          <w:szCs w:val="24"/>
        </w:rPr>
        <w:t>Sadab</w:t>
      </w:r>
      <w:r>
        <w:rPr>
          <w:rFonts w:ascii="Times New Roman" w:cs="Times New Roman" w:hAnsi="Times New Roman"/>
          <w:sz w:val="24"/>
          <w:szCs w:val="24"/>
        </w:rPr>
        <w:t xml:space="preserve"> Sayeed</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 Juliette Butler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 Engineering Technical Report I Outline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 11/25/2020</w:t>
      </w:r>
    </w:p>
    <w:p>
      <w:pPr>
        <w:pStyle w:val="style0"/>
        <w:spacing w:lineRule="auto" w:line="480"/>
        <w:rPr>
          <w:rFonts w:ascii="Times New Roman" w:cs="Times New Roman" w:eastAsia="宋体" w:hAnsi="Times New Roman"/>
          <w:color w:val="2f5496"/>
          <w:sz w:val="24"/>
          <w:szCs w:val="24"/>
        </w:rPr>
      </w:pPr>
      <w:r>
        <w:rPr>
          <w:rFonts w:ascii="Times New Roman" w:cs="Times New Roman" w:hAnsi="Times New Roman"/>
          <w:sz w:val="24"/>
          <w:szCs w:val="24"/>
        </w:rPr>
        <w:br w:type="page"/>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Introduction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Buildings and the construction process contribute approximately 36% of the global energy consumption and 39% of energy-related carbon emissions (</w:t>
      </w:r>
      <w:r>
        <w:rPr>
          <w:rFonts w:ascii="Times New Roman" w:cs="Times New Roman" w:hAnsi="Times New Roman"/>
          <w:sz w:val="24"/>
          <w:szCs w:val="24"/>
        </w:rPr>
        <w:t>Dakwale&amp;Ralegaonkar</w:t>
      </w:r>
      <w:r>
        <w:rPr>
          <w:rFonts w:ascii="Times New Roman" w:cs="Times New Roman" w:hAnsi="Times New Roman"/>
          <w:sz w:val="24"/>
          <w:szCs w:val="24"/>
        </w:rPr>
        <w:t>, 2011). Global emissions from the buildings are linked to two processes: heating and onsite power generation. Boilers, furnaces, and water heaters using fossil fuels contribute to a significant amount of carbon emissions. Onsite power generation like the use of diesel generators, and steam turbines contributes to increased emissions.</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Background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250 Yonge Street building is </w:t>
      </w:r>
      <w:r>
        <w:rPr>
          <w:rFonts w:ascii="Times New Roman" w:cs="Times New Roman" w:hAnsi="Times New Roman"/>
          <w:sz w:val="24"/>
          <w:szCs w:val="24"/>
        </w:rPr>
        <w:t>commercial building and a construction and operation site that is linked to the issue of carbon emissions</w:t>
      </w:r>
      <w:r>
        <w:rPr>
          <w:rFonts w:ascii="Times New Roman" w:cs="Times New Roman" w:hAnsi="Times New Roman"/>
          <w:sz w:val="24"/>
          <w:szCs w:val="24"/>
        </w:rPr>
        <w:t>, estimated at 2368 tons of CO2e annually</w:t>
      </w:r>
      <w:r>
        <w:rPr>
          <w:rFonts w:ascii="Times New Roman" w:cs="Times New Roman" w:hAnsi="Times New Roman"/>
          <w:sz w:val="24"/>
          <w:szCs w:val="24"/>
        </w:rPr>
        <w:t xml:space="preserve">. Activities in the site like day to day energy use, heating, and lighting contribute to high levels of greenhouse gases. </w:t>
      </w:r>
      <w:r>
        <w:rPr>
          <w:rFonts w:ascii="Times New Roman" w:cs="Times New Roman" w:hAnsi="Times New Roman"/>
          <w:sz w:val="24"/>
          <w:szCs w:val="24"/>
        </w:rPr>
        <w:t>Because of increased carbon emissions, there is need</w:t>
      </w:r>
      <w:r>
        <w:rPr>
          <w:rFonts w:ascii="Times New Roman" w:cs="Times New Roman" w:hAnsi="Times New Roman"/>
          <w:sz w:val="24"/>
          <w:szCs w:val="24"/>
        </w:rPr>
        <w:t xml:space="preserve"> for the city’s leadership as well as the building management to develop strategies that will alleviate the challenge. Despite the site’s management efforts to address increased carbon emissions, the site poses a threat to the environment.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Purpose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purpose of this report is to</w:t>
      </w:r>
      <w:r>
        <w:rPr>
          <w:rFonts w:ascii="Times New Roman" w:cs="Times New Roman" w:hAnsi="Times New Roman"/>
          <w:sz w:val="24"/>
          <w:szCs w:val="24"/>
        </w:rPr>
        <w:t xml:space="preserve"> implement viable solutions to address the problem of increased carbon emission from the 250 Yonge Street building. </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Problem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Over the years, Toronto has witnessed an increase in the amount of carbon emissions in the atmosphere. One of the major sources increased emissions is buildings. Buildings in the city account for approximately 50% of carbon emissions. 250 Yonge street building is one of the </w:t>
      </w:r>
      <w:r>
        <w:rPr>
          <w:rFonts w:ascii="Times New Roman" w:cs="Times New Roman" w:hAnsi="Times New Roman"/>
          <w:sz w:val="24"/>
          <w:szCs w:val="24"/>
        </w:rPr>
        <w:t xml:space="preserve">skyscrapers in the city that has been linked to a spike in CO2 in the atmosphere. </w:t>
      </w:r>
      <w:r>
        <w:rPr>
          <w:rFonts w:ascii="Times New Roman" w:cs="Times New Roman" w:hAnsi="Times New Roman"/>
          <w:sz w:val="24"/>
          <w:szCs w:val="24"/>
        </w:rPr>
        <w:t xml:space="preserve">In 2013, the total direct and indirect emissions from the site were 2368 </w:t>
      </w:r>
      <w:r>
        <w:rPr>
          <w:rFonts w:ascii="Times New Roman" w:cs="Times New Roman" w:hAnsi="Times New Roman"/>
          <w:sz w:val="24"/>
          <w:szCs w:val="24"/>
        </w:rPr>
        <w:t>tons</w:t>
      </w:r>
      <w:r>
        <w:rPr>
          <w:rFonts w:ascii="Times New Roman" w:cs="Times New Roman" w:hAnsi="Times New Roman"/>
          <w:sz w:val="24"/>
          <w:szCs w:val="24"/>
        </w:rPr>
        <w:t xml:space="preserve"> of CO2e. Building gas, electricity, and </w:t>
      </w:r>
      <w:r>
        <w:rPr>
          <w:rFonts w:ascii="Times New Roman" w:cs="Times New Roman" w:hAnsi="Times New Roman"/>
          <w:sz w:val="24"/>
          <w:szCs w:val="24"/>
        </w:rPr>
        <w:t>diesel accounted for 100% of the total emissions</w:t>
      </w:r>
      <w:r>
        <w:rPr>
          <w:rFonts w:ascii="Times New Roman" w:cs="Times New Roman" w:hAnsi="Times New Roman"/>
          <w:sz w:val="24"/>
          <w:szCs w:val="24"/>
        </w:rPr>
        <w:t xml:space="preserve"> (250 Yonge Street, Toronto Greenhouse Gas Inventory Report, 2013). The emission of carbon from the Site has contributed to various challenges in the location. The impacts include adverse climatic changes such as storms and increased temperature in the area surrounding the site. Also, increased health issues among the site population, such as malignancies, asthma, cardiac diseases, and allergies, have been reported. Therefore, carbon emissions from the building need to be solved.</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Scope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report's scope will evaluate the Site conditions related to carbon emissions and the target provided by 2030. Solutions to mitigate the carbon emissions will be presented and assessed in cost, efficiency, and carbon reduction. The report will provide solutions that establish the prevention of carbon emissions from the Site which will prevent adverse effects linked to the emission.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This report will incorporate industry best practices for retrofitting an existing building to increase its building envelope's efficiency. Best practices will be included in the solutions to suggest what the Site needs to change or incorporate to enhance effective control of carbon emissions.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Costs associated with this report will be based on material only and not labor. The report will provide the study of carbon emissions that are only related to the Site. The topics to be covered in the report includes the solutions that will enhance the prevention of carbon emissions from the building. The report only provides suggestions for the solutions without the implementation process. The concepts that will be used for the report include insulation, heat, and light control </w:t>
      </w:r>
      <w:r>
        <w:rPr>
          <w:rFonts w:ascii="Times New Roman" w:cs="Times New Roman" w:hAnsi="Times New Roman"/>
          <w:sz w:val="24"/>
          <w:szCs w:val="24"/>
        </w:rPr>
        <w:t>which will provide solutions for the carbon emissions challenge in the Site. For the solutions to be established effectively, the use of evidenced-based resolutions will be enhanced.</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Current Site Conditions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250 Yonge street building is a 35-storey building located in Toronto ON M5B2L7 (250 Yonge Street, Toronto Greenhouse Gas Inventory Report, 2013). The Site was constructed in 1991. The building has aluminium used as the façade material. Façade material is white and blue, adding to the building’s aesthetic value. </w:t>
      </w:r>
      <w:r>
        <w:rPr>
          <w:rFonts w:ascii="Times New Roman" w:cs="Times New Roman" w:hAnsi="Times New Roman"/>
          <w:sz w:val="24"/>
          <w:szCs w:val="24"/>
        </w:rPr>
        <w:t>The heating system used is force</w:t>
      </w:r>
      <w:r>
        <w:rPr>
          <w:rFonts w:ascii="Times New Roman" w:cs="Times New Roman" w:hAnsi="Times New Roman"/>
          <w:sz w:val="24"/>
          <w:szCs w:val="24"/>
        </w:rPr>
        <w:t>d air and a centrally controlled air conditioning. The 250 has 16 elevators, 900 parking spaces, and an architectural height of 151 m</w:t>
      </w:r>
      <w:r>
        <w:rPr>
          <w:rFonts w:ascii="Times New Roman" w:cs="Times New Roman" w:hAnsi="Times New Roman"/>
          <w:sz w:val="24"/>
          <w:szCs w:val="24"/>
        </w:rPr>
        <w:t>eters.</w:t>
      </w:r>
      <w:r>
        <w:rPr>
          <w:rFonts w:ascii="Times New Roman" w:cs="Times New Roman" w:hAnsi="Times New Roman"/>
          <w:sz w:val="24"/>
          <w:szCs w:val="24"/>
        </w:rPr>
        <w:t xml:space="preserve"> This skyscraper has been linked to increased CO2 emissions resulting from the use of electricity, diesel, and natural gas.</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Current CO2 Levels and Temperature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Currently, the building emits more than 2300 tons of CO2e annually. This increase has resulted to a significant rise of temperature within the area. Annual temperatures are estimated to rise by approximately 0.</w:t>
      </w:r>
      <w:r>
        <w:rPr>
          <w:rFonts w:ascii="Times New Roman" w:cs="Times New Roman" w:hAnsi="Times New Roman"/>
          <w:sz w:val="24"/>
          <w:szCs w:val="24"/>
        </w:rPr>
        <w:t>8</w:t>
      </w:r>
      <w:r>
        <w:rPr>
          <w:rFonts w:ascii="Times New Roman" w:cs="Times New Roman" w:hAnsi="Times New Roman"/>
          <w:sz w:val="24"/>
          <w:szCs w:val="24"/>
        </w:rPr>
        <w:t>˚C</w:t>
      </w:r>
      <w:r>
        <w:rPr>
          <w:rFonts w:ascii="Times New Roman" w:cs="Times New Roman" w:hAnsi="Times New Roman"/>
          <w:sz w:val="24"/>
          <w:szCs w:val="24"/>
        </w:rPr>
        <w:t xml:space="preserve">.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Local Weather Patterns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Over the decades, the city of Toronto has faced an average of 2.7˚C annual temperature increase. An increase in temperature is linked to the urban heat island effect. The average annual precipitation has decreased significantly. </w:t>
      </w:r>
      <w:r>
        <w:rPr>
          <w:rFonts w:ascii="Times New Roman" w:cs="Times New Roman" w:hAnsi="Times New Roman"/>
          <w:sz w:val="24"/>
          <w:szCs w:val="24"/>
        </w:rPr>
        <w:t>However, the area has been experiencing storms leading to flash floods</w:t>
      </w:r>
      <w:r>
        <w:rPr>
          <w:rFonts w:ascii="Times New Roman" w:cs="Times New Roman" w:hAnsi="Times New Roman"/>
          <w:sz w:val="24"/>
          <w:szCs w:val="24"/>
        </w:rPr>
        <w:t xml:space="preserve"> (</w:t>
      </w:r>
      <w:r>
        <w:rPr>
          <w:rFonts w:ascii="Times New Roman" w:cs="Times New Roman" w:hAnsi="Times New Roman"/>
          <w:sz w:val="24"/>
          <w:szCs w:val="24"/>
        </w:rPr>
        <w:t>Wieditz</w:t>
      </w:r>
      <w:r>
        <w:rPr>
          <w:rFonts w:ascii="Times New Roman" w:cs="Times New Roman" w:hAnsi="Times New Roman"/>
          <w:sz w:val="24"/>
          <w:szCs w:val="24"/>
        </w:rPr>
        <w:t xml:space="preserve"> and Penney, 2006)</w:t>
      </w:r>
      <w:r>
        <w:rPr>
          <w:rFonts w:ascii="Times New Roman" w:cs="Times New Roman" w:hAnsi="Times New Roman"/>
          <w:sz w:val="24"/>
          <w:szCs w:val="24"/>
        </w:rPr>
        <w:t xml:space="preserve">. </w:t>
      </w:r>
      <w:r>
        <w:rPr>
          <w:rFonts w:ascii="Times New Roman" w:cs="Times New Roman" w:hAnsi="Times New Roman"/>
          <w:sz w:val="24"/>
          <w:szCs w:val="24"/>
        </w:rPr>
        <w:t xml:space="preserve">Changes in local weather patterns are associated with climate change. </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Deep Lake Cooling Principles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Using the deep lake water cooling system can be used as an alternative of the existing cooling systems in the building. </w:t>
      </w:r>
      <w:r>
        <w:rPr>
          <w:rFonts w:ascii="Times New Roman" w:cs="Times New Roman" w:hAnsi="Times New Roman"/>
          <w:sz w:val="24"/>
          <w:szCs w:val="24"/>
        </w:rPr>
        <w:t xml:space="preserve">Using high dense water from </w:t>
      </w:r>
      <w:r>
        <w:rPr>
          <w:rFonts w:ascii="Times New Roman" w:cs="Times New Roman" w:hAnsi="Times New Roman"/>
          <w:sz w:val="24"/>
          <w:szCs w:val="24"/>
        </w:rPr>
        <w:t>Lake Ontario</w:t>
      </w:r>
      <w:r>
        <w:rPr>
          <w:rFonts w:ascii="Times New Roman" w:cs="Times New Roman" w:hAnsi="Times New Roman"/>
          <w:sz w:val="24"/>
          <w:szCs w:val="24"/>
        </w:rPr>
        <w:t xml:space="preserve"> as a cooling solution will minimize emissions from cooling processes. </w:t>
      </w:r>
      <w:r>
        <w:rPr>
          <w:rFonts w:ascii="Times New Roman" w:cs="Times New Roman" w:hAnsi="Times New Roman"/>
          <w:sz w:val="24"/>
          <w:szCs w:val="24"/>
        </w:rPr>
        <w:t xml:space="preserve">This system focuses on the use of cold dense water at the bottom of the lake as a renewable energy source. </w:t>
      </w:r>
      <w:r>
        <w:rPr>
          <w:rFonts w:ascii="Times New Roman" w:cs="Times New Roman" w:hAnsi="Times New Roman"/>
          <w:sz w:val="24"/>
          <w:szCs w:val="24"/>
        </w:rPr>
        <w:t xml:space="preserve">This revolutionary cooling system can provide an efficient and sustainable cooling system for </w:t>
      </w:r>
      <w:r>
        <w:rPr>
          <w:rFonts w:ascii="Times New Roman" w:cs="Times New Roman" w:hAnsi="Times New Roman"/>
          <w:sz w:val="24"/>
          <w:szCs w:val="24"/>
        </w:rPr>
        <w:t>The</w:t>
      </w:r>
      <w:r>
        <w:rPr>
          <w:rFonts w:ascii="Times New Roman" w:cs="Times New Roman" w:hAnsi="Times New Roman"/>
          <w:sz w:val="24"/>
          <w:szCs w:val="24"/>
        </w:rPr>
        <w:t xml:space="preserve"> 250 and other commercial towers.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Refrigeration Technology</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Technology that involves the movement of heat energy from lower temperatures to higher temperatures.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Heat Transfer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Using lower heat energy from Lake Ontario to cool the building. Utilize the </w:t>
      </w:r>
      <w:r>
        <w:rPr>
          <w:rFonts w:ascii="Times New Roman" w:cs="Times New Roman" w:hAnsi="Times New Roman"/>
          <w:sz w:val="24"/>
          <w:szCs w:val="24"/>
        </w:rPr>
        <w:t xml:space="preserve">high temperatures of water to warm the building. </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Potential Solutions </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There are different solutions that can be used to address the problem of increased carbon footprint from the building. One of the solutions is controlling the amount of heat that is released from the building. Minimizing emitted heat into the atmosphere will significantly lower CO2 levels in the atmosphere. Another solution can be controlling the amount of light that is used in the building. Control of electricity light that is released will lower carbon footprint in the site. The last solution is the use of insulation, which will ensure that the internal and external environments are kept in optimal conditions at all times.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Control of heat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To ensure that the energy from the heat in the site is not emitted into the atmosphere.</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Control of light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Light energy will also ensure that carbon energy from electricity is not released into the environment.</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Enhancing insulation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lang w:val="en-US"/>
        </w:rPr>
        <w:t>Insulation</w:t>
      </w:r>
      <w:r>
        <w:rPr>
          <w:rFonts w:ascii="Times New Roman" w:cs="Times New Roman" w:hAnsi="Times New Roman"/>
          <w:sz w:val="24"/>
          <w:szCs w:val="24"/>
        </w:rPr>
        <w:t xml:space="preserve"> prevents the energy generated at the site from being released to the environment.</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Evaluation of Solutions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evaluation of solutions will be based on the assessment procedure carried out in the site. The recommended solutions are set for the management of the site to embrace. However, the site will also be assessed for continuous strategies that have been used to prevent carbon emissions. Observations of the building on the interventions that have been carried out will be used to check if the recommended solutions have been implemented. The change of solutions will be addressed to determine if there are those recently embraced solutions to solve the issue of carbon emissions.</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Evaluation Factor #1</w:t>
      </w:r>
    </w:p>
    <w:p>
      <w:pPr>
        <w:pStyle w:val="style0"/>
        <w:spacing w:lineRule="auto" w:line="480"/>
        <w:rPr>
          <w:rFonts w:ascii="Times New Roman" w:cs="Times New Roman" w:eastAsia="宋体" w:hAnsi="Times New Roman"/>
          <w:color w:val="2f5496"/>
          <w:sz w:val="24"/>
          <w:szCs w:val="24"/>
        </w:rPr>
      </w:pPr>
      <w:r>
        <w:rPr>
          <w:rFonts w:ascii="Times New Roman" w:cs="Times New Roman" w:hAnsi="Times New Roman"/>
          <w:sz w:val="24"/>
          <w:szCs w:val="24"/>
        </w:rPr>
        <w:t>Control of heat will be evaluated through enquiring from the administration about their strategies of how heat is regulated</w:t>
      </w:r>
      <w:r>
        <w:rPr>
          <w:rFonts w:ascii="Times New Roman" w:cs="Times New Roman" w:eastAsia="宋体" w:hAnsi="Times New Roman"/>
          <w:color w:val="2f5496"/>
          <w:sz w:val="24"/>
          <w:szCs w:val="24"/>
        </w:rPr>
        <w:t>.</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Evaluation Factor #2</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Control of lighting will also be assessed by analyzing how the administrations have put strategies to regulate light.</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Evaluation Factor #3</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Insulation will be evaluated based on the structure of the site. </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Problem Based Methodology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use of evidence-based solutions will be enhanced through research recommendations from environmental engineering professionals. The problem-based methodology is a technique that will ensure that the problems that are presented at the site are addressed with specificity. This will be enhanced by collecting data regarding the use of HVAC in the prevention of carbon emission at the site. The data about the use of insulation will be accessed from the house owner. </w:t>
      </w:r>
      <w:r>
        <w:rPr>
          <w:rFonts w:ascii="Times New Roman" w:cs="Times New Roman" w:hAnsi="Times New Roman"/>
          <w:sz w:val="24"/>
          <w:szCs w:val="24"/>
        </w:rPr>
        <w:t>The information on strategies such as recycling of water will ensure that the strategies for conservation of energy are done to prevent the emission of carbon from the Site.</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Determine the architectural design of the building</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Know whether the design contributes to increased emissions.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Explore factors leading to high carbon footprint from the building </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Address factors like ventilation, type of energy used, cooling and heating systems, and materials used for construction.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Deep lake water cooling system </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Explore the benefits of using deep lake water cooling system, which is sustainable and clean.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Assess total direct and indirect emissions from </w:t>
      </w:r>
      <w:r>
        <w:rPr>
          <w:rFonts w:ascii="Times New Roman" w:cs="Times New Roman" w:hAnsi="Times New Roman"/>
          <w:sz w:val="24"/>
          <w:szCs w:val="24"/>
        </w:rPr>
        <w:t>The</w:t>
      </w:r>
      <w:r>
        <w:rPr>
          <w:rFonts w:ascii="Times New Roman" w:cs="Times New Roman" w:hAnsi="Times New Roman"/>
          <w:sz w:val="24"/>
          <w:szCs w:val="24"/>
        </w:rPr>
        <w:t xml:space="preserve"> 250</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Determine the two major sources of emissions, that is direct and indirect emissions from the building and its activities.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Explore approaches used to minimize energy usage and CO2 emissions</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Develop new energy use strategies to minimize wastage and CO2 emissions. </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Energy Efficiencies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need for energy efficiencies in the building is urgent.</w:t>
      </w:r>
      <w:r>
        <w:rPr>
          <w:rFonts w:ascii="Times New Roman" w:cs="Times New Roman" w:hAnsi="Times New Roman"/>
          <w:sz w:val="24"/>
          <w:szCs w:val="24"/>
        </w:rPr>
        <w:t xml:space="preserve"> Energy savings will focus on approaches to minimize energy wastage.</w:t>
      </w:r>
      <w:r>
        <w:rPr>
          <w:rFonts w:ascii="Times New Roman" w:cs="Times New Roman" w:hAnsi="Times New Roman"/>
          <w:sz w:val="24"/>
          <w:szCs w:val="24"/>
        </w:rPr>
        <w:t xml:space="preserve"> Energy savings will help minimize greenhouse gas emissions, lower costs of energy as well as demand. </w:t>
      </w:r>
      <w:r>
        <w:rPr>
          <w:rFonts w:ascii="Times New Roman" w:cs="Times New Roman" w:hAnsi="Times New Roman"/>
          <w:sz w:val="24"/>
          <w:szCs w:val="24"/>
        </w:rPr>
        <w:t xml:space="preserve">Water savings in the building will focus on using water as a renewable energy source to cool and heat the building.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Energy Saving </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Energy saving can be achieved by the use of deep lake water cooling system, using water from Lake Ontario.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Water Saving </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Water used for cooling can also be used for heating purposes and used for sewage purposes. </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Environmental and Commercial Benefits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This section will focus on addressing environmental benefits of minimizing emissions from </w:t>
      </w:r>
      <w:r>
        <w:rPr>
          <w:rFonts w:ascii="Times New Roman" w:cs="Times New Roman" w:hAnsi="Times New Roman"/>
          <w:sz w:val="24"/>
          <w:szCs w:val="24"/>
        </w:rPr>
        <w:t>The</w:t>
      </w:r>
      <w:r>
        <w:rPr>
          <w:rFonts w:ascii="Times New Roman" w:cs="Times New Roman" w:hAnsi="Times New Roman"/>
          <w:sz w:val="24"/>
          <w:szCs w:val="24"/>
        </w:rPr>
        <w:t xml:space="preserve"> 250. Minimizing emissions will eventually lower air pollution because the volume of particulate matter will decrease. </w:t>
      </w:r>
      <w:r>
        <w:rPr>
          <w:rFonts w:ascii="Times New Roman" w:cs="Times New Roman" w:hAnsi="Times New Roman"/>
          <w:sz w:val="24"/>
          <w:szCs w:val="24"/>
        </w:rPr>
        <w:t xml:space="preserve">Minimizing carbon footprint will minimize emission of substances that destroy the Ozone layer. Protection of the Ozone layer is important because it shields us from harmful radiations from the sun. Reduction of emissions will lower incidences of acidic rain, thus ensuring cleaner water sources. </w:t>
      </w:r>
      <w:r>
        <w:rPr>
          <w:rFonts w:ascii="Times New Roman" w:cs="Times New Roman" w:hAnsi="Times New Roman"/>
          <w:sz w:val="24"/>
          <w:szCs w:val="24"/>
        </w:rPr>
        <w:t xml:space="preserve">There are commercial benefits linked to alleviation of CO2 emissions, like lowering energy costs.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Reduction of Air Pollutants</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Particulate matter in the atmosphere will be minimized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Reduction of Substances Depleting the Ozone Layer</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Substances like CFCs will be minimized, thus protecting the ozone, which in turn, shields us from harmful UV radiations.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Cleaner Sources of Water </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Reduction of CO2 in the atmosphere will decrease chances of acidic rains, thus ensuring that water sources are clean and do not pose a threat to public health. </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Commercial Benefits</w:t>
      </w:r>
    </w:p>
    <w:p>
      <w:pPr>
        <w:pStyle w:val="style0"/>
        <w:numPr>
          <w:ilvl w:val="0"/>
          <w:numId w:val="0"/>
        </w:numPr>
        <w:spacing w:lineRule="auto" w:line="480"/>
        <w:rPr>
          <w:rFonts w:ascii="Times New Roman" w:cs="Times New Roman" w:hAnsi="Times New Roman"/>
          <w:sz w:val="24"/>
          <w:szCs w:val="24"/>
        </w:rPr>
      </w:pPr>
      <w:r>
        <w:rPr>
          <w:rFonts w:ascii="Times New Roman" w:cs="Times New Roman" w:hAnsi="Times New Roman"/>
          <w:sz w:val="24"/>
          <w:szCs w:val="24"/>
          <w:lang w:val="en-US"/>
        </w:rPr>
        <w:t xml:space="preserve">Commercial benefits like reduced cost of heating and cooling in the building. </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Results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expected result from the site in this study is that there is poor performance in the strategies that can prevent carbon emissions.</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Conclusions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Research has suggested that using strategies including HVAC, reusing of water, and using renewable sources of energy prevents increased carbon emissions from buildings. This means that using these strategies in the Site might be absent, or they are done poorly. If the site uses these strategies, the carbon emission could be diminished. Therefore, the expected outcome is that the management of the site does not control operational energy effectively.</w:t>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Recommendations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Use of deep lake water cooling system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Water recycling</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Insulation to minimize energy loss and CO2 emissions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br w:type="page"/>
      </w: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References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250 Yonge Street, Toronto Greenhouse Gas Inventory Report. (, 2013). Retrieved 7 October 2020, from https://www.csaregistries.ca/files/projects/2301-2780_GHGReport_20110401_201203311.pdf.</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Dakwale</w:t>
      </w:r>
      <w:r>
        <w:rPr>
          <w:rFonts w:ascii="Times New Roman" w:cs="Times New Roman" w:hAnsi="Times New Roman"/>
          <w:sz w:val="24"/>
          <w:szCs w:val="24"/>
        </w:rPr>
        <w:t>, V., &amp;</w:t>
      </w:r>
      <w:r>
        <w:rPr>
          <w:rFonts w:ascii="Times New Roman" w:cs="Times New Roman" w:hAnsi="Times New Roman"/>
          <w:sz w:val="24"/>
          <w:szCs w:val="24"/>
        </w:rPr>
        <w:t>Ralegaonkar</w:t>
      </w:r>
      <w:r>
        <w:rPr>
          <w:rFonts w:ascii="Times New Roman" w:cs="Times New Roman" w:hAnsi="Times New Roman"/>
          <w:sz w:val="24"/>
          <w:szCs w:val="24"/>
        </w:rPr>
        <w:t xml:space="preserve">, R. (2011). Review of carbon emission through buildings: threats, causes, and solutions: Table 1. </w:t>
      </w:r>
      <w:r>
        <w:rPr>
          <w:rFonts w:ascii="Times New Roman" w:cs="Times New Roman" w:hAnsi="Times New Roman"/>
          <w:i/>
          <w:iCs/>
          <w:sz w:val="24"/>
          <w:szCs w:val="24"/>
        </w:rPr>
        <w:t>International Journal of Low-Carbon Technologies</w:t>
      </w:r>
      <w:r>
        <w:rPr>
          <w:rFonts w:ascii="Times New Roman" w:cs="Times New Roman" w:hAnsi="Times New Roman"/>
          <w:sz w:val="24"/>
          <w:szCs w:val="24"/>
        </w:rPr>
        <w:t>, </w:t>
      </w:r>
      <w:r>
        <w:rPr>
          <w:rFonts w:ascii="Times New Roman" w:cs="Times New Roman" w:hAnsi="Times New Roman"/>
          <w:i/>
          <w:iCs/>
          <w:sz w:val="24"/>
          <w:szCs w:val="24"/>
        </w:rPr>
        <w:t>7</w:t>
      </w:r>
      <w:r>
        <w:rPr>
          <w:rFonts w:ascii="Times New Roman" w:cs="Times New Roman" w:hAnsi="Times New Roman"/>
          <w:sz w:val="24"/>
          <w:szCs w:val="24"/>
        </w:rPr>
        <w:t xml:space="preserve">(2), 143-148. </w:t>
      </w:r>
      <w:r>
        <w:rPr/>
        <w:fldChar w:fldCharType="begin"/>
      </w:r>
      <w:r>
        <w:instrText xml:space="preserve"> HYPERLINK "https://doi.org/10.1093/ijlct/ctr032" </w:instrText>
      </w:r>
      <w:r>
        <w:rPr/>
        <w:fldChar w:fldCharType="separate"/>
      </w:r>
      <w:r>
        <w:rPr>
          <w:rStyle w:val="style85"/>
          <w:rFonts w:ascii="Times New Roman" w:cs="Times New Roman" w:hAnsi="Times New Roman"/>
          <w:sz w:val="24"/>
          <w:szCs w:val="24"/>
        </w:rPr>
        <w:t>https://doi.org/10.1093/ijlct/ctr032</w:t>
      </w:r>
      <w:r>
        <w:rPr/>
        <w:fldChar w:fldCharType="end"/>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Diaz, R. O., Montanez, A., &amp; </w:t>
      </w:r>
      <w:r>
        <w:rPr>
          <w:rFonts w:ascii="Times New Roman" w:cs="Times New Roman" w:hAnsi="Times New Roman"/>
          <w:sz w:val="24"/>
          <w:szCs w:val="24"/>
        </w:rPr>
        <w:t>Cuentas</w:t>
      </w:r>
      <w:r>
        <w:rPr>
          <w:rFonts w:ascii="Times New Roman" w:cs="Times New Roman" w:hAnsi="Times New Roman"/>
          <w:sz w:val="24"/>
          <w:szCs w:val="24"/>
        </w:rPr>
        <w:t xml:space="preserve">, J. (2016). Coal tar, material used in soil improvement for use in road engineering. In </w:t>
      </w:r>
      <w:r>
        <w:rPr>
          <w:rFonts w:ascii="Times New Roman" w:cs="Times New Roman" w:hAnsi="Times New Roman"/>
          <w:i/>
          <w:iCs/>
          <w:sz w:val="24"/>
          <w:szCs w:val="24"/>
        </w:rPr>
        <w:t>J. Phys. Conf Ser</w:t>
      </w:r>
      <w:r>
        <w:rPr>
          <w:rFonts w:ascii="Times New Roman" w:cs="Times New Roman" w:hAnsi="Times New Roman"/>
          <w:sz w:val="24"/>
          <w:szCs w:val="24"/>
        </w:rPr>
        <w:t xml:space="preserve"> (687, p. 12045). </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Hertwich</w:t>
      </w:r>
      <w:r>
        <w:rPr>
          <w:rFonts w:ascii="Times New Roman" w:cs="Times New Roman" w:hAnsi="Times New Roman"/>
          <w:sz w:val="24"/>
          <w:szCs w:val="24"/>
        </w:rPr>
        <w:t xml:space="preserve">, E., Ali, S., </w:t>
      </w:r>
      <w:r>
        <w:rPr>
          <w:rFonts w:ascii="Times New Roman" w:cs="Times New Roman" w:hAnsi="Times New Roman"/>
          <w:sz w:val="24"/>
          <w:szCs w:val="24"/>
        </w:rPr>
        <w:t>Ciacci</w:t>
      </w:r>
      <w:r>
        <w:rPr>
          <w:rFonts w:ascii="Times New Roman" w:cs="Times New Roman" w:hAnsi="Times New Roman"/>
          <w:sz w:val="24"/>
          <w:szCs w:val="24"/>
        </w:rPr>
        <w:t xml:space="preserve">, L., Fishman, T., </w:t>
      </w:r>
      <w:r>
        <w:rPr>
          <w:rFonts w:ascii="Times New Roman" w:cs="Times New Roman" w:hAnsi="Times New Roman"/>
          <w:sz w:val="24"/>
          <w:szCs w:val="24"/>
        </w:rPr>
        <w:t>Heeren</w:t>
      </w:r>
      <w:r>
        <w:rPr>
          <w:rFonts w:ascii="Times New Roman" w:cs="Times New Roman" w:hAnsi="Times New Roman"/>
          <w:sz w:val="24"/>
          <w:szCs w:val="24"/>
        </w:rPr>
        <w:t>, N., &amp;</w:t>
      </w:r>
      <w:r>
        <w:rPr>
          <w:rFonts w:ascii="Times New Roman" w:cs="Times New Roman" w:hAnsi="Times New Roman"/>
          <w:sz w:val="24"/>
          <w:szCs w:val="24"/>
        </w:rPr>
        <w:t>Masanet</w:t>
      </w:r>
      <w:r>
        <w:rPr>
          <w:rFonts w:ascii="Times New Roman" w:cs="Times New Roman" w:hAnsi="Times New Roman"/>
          <w:sz w:val="24"/>
          <w:szCs w:val="24"/>
        </w:rPr>
        <w:t xml:space="preserve">, E. et al. (2019). Material efficiency strategies reduce greenhouse gas emissions associated with buildings, vehicles, and electronics—a review. </w:t>
      </w:r>
      <w:r>
        <w:rPr>
          <w:rFonts w:ascii="Times New Roman" w:cs="Times New Roman" w:hAnsi="Times New Roman"/>
          <w:i/>
          <w:iCs/>
          <w:sz w:val="24"/>
          <w:szCs w:val="24"/>
        </w:rPr>
        <w:t>Environmental Research Letters</w:t>
      </w:r>
      <w:r>
        <w:rPr>
          <w:rFonts w:ascii="Times New Roman" w:cs="Times New Roman" w:hAnsi="Times New Roman"/>
          <w:sz w:val="24"/>
          <w:szCs w:val="24"/>
        </w:rPr>
        <w:t>, </w:t>
      </w:r>
      <w:r>
        <w:rPr>
          <w:rFonts w:ascii="Times New Roman" w:cs="Times New Roman" w:hAnsi="Times New Roman"/>
          <w:i/>
          <w:iCs/>
          <w:sz w:val="24"/>
          <w:szCs w:val="24"/>
        </w:rPr>
        <w:t>14</w:t>
      </w:r>
      <w:r>
        <w:rPr>
          <w:rFonts w:ascii="Times New Roman" w:cs="Times New Roman" w:hAnsi="Times New Roman"/>
          <w:sz w:val="24"/>
          <w:szCs w:val="24"/>
        </w:rPr>
        <w:t xml:space="preserve">(4), 043004. </w:t>
      </w:r>
      <w:r>
        <w:rPr/>
        <w:fldChar w:fldCharType="begin"/>
      </w:r>
      <w:r>
        <w:instrText xml:space="preserve"> HYPERLINK "https://doi.org/10.1088/1748-9326/ab0fe3" </w:instrText>
      </w:r>
      <w:r>
        <w:rPr/>
        <w:fldChar w:fldCharType="separate"/>
      </w:r>
      <w:r>
        <w:rPr>
          <w:rStyle w:val="style85"/>
          <w:rFonts w:ascii="Times New Roman" w:cs="Times New Roman" w:hAnsi="Times New Roman"/>
          <w:sz w:val="24"/>
          <w:szCs w:val="24"/>
        </w:rPr>
        <w:t>https://doi.org/10.1088/1748-9326/ab0fe3</w:t>
      </w:r>
      <w:r>
        <w:rPr/>
        <w:fldChar w:fldCharType="end"/>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Huang, W., Li, F., Cui, S., Li, F., Huang, L., &amp; Lin, J. (2017). Carbon Footprint and Carbon Emission Reduction of Urban Buildings: A Case in Xiamen City, China. </w:t>
      </w:r>
      <w:r>
        <w:rPr>
          <w:rFonts w:ascii="Times New Roman" w:cs="Times New Roman" w:hAnsi="Times New Roman"/>
          <w:i/>
          <w:iCs/>
          <w:sz w:val="24"/>
          <w:szCs w:val="24"/>
        </w:rPr>
        <w:t>Procedia Engineering</w:t>
      </w:r>
      <w:r>
        <w:rPr>
          <w:rFonts w:ascii="Times New Roman" w:cs="Times New Roman" w:hAnsi="Times New Roman"/>
          <w:sz w:val="24"/>
          <w:szCs w:val="24"/>
        </w:rPr>
        <w:t>, </w:t>
      </w:r>
      <w:r>
        <w:rPr>
          <w:rFonts w:ascii="Times New Roman" w:cs="Times New Roman" w:hAnsi="Times New Roman"/>
          <w:i/>
          <w:iCs/>
          <w:sz w:val="24"/>
          <w:szCs w:val="24"/>
        </w:rPr>
        <w:t>198</w:t>
      </w:r>
      <w:r>
        <w:rPr>
          <w:rFonts w:ascii="Times New Roman" w:cs="Times New Roman" w:hAnsi="Times New Roman"/>
          <w:sz w:val="24"/>
          <w:szCs w:val="24"/>
        </w:rPr>
        <w:t>, 1007-1017. https://doi.org/10.1016/j.proeng.2017.07.146</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Mohareb</w:t>
      </w:r>
      <w:r>
        <w:rPr>
          <w:rFonts w:ascii="Times New Roman" w:cs="Times New Roman" w:hAnsi="Times New Roman"/>
          <w:sz w:val="24"/>
          <w:szCs w:val="24"/>
        </w:rPr>
        <w:t>, E., &amp;</w:t>
      </w:r>
      <w:r>
        <w:rPr>
          <w:rFonts w:ascii="Times New Roman" w:cs="Times New Roman" w:hAnsi="Times New Roman"/>
          <w:sz w:val="24"/>
          <w:szCs w:val="24"/>
        </w:rPr>
        <w:t>Mohareb</w:t>
      </w:r>
      <w:r>
        <w:rPr>
          <w:rFonts w:ascii="Times New Roman" w:cs="Times New Roman" w:hAnsi="Times New Roman"/>
          <w:sz w:val="24"/>
          <w:szCs w:val="24"/>
        </w:rPr>
        <w:t>, A. (2014). A comparison of greenhouse gas emissions in the residential sector of major Canadian cities. </w:t>
      </w:r>
      <w:r>
        <w:rPr>
          <w:rFonts w:ascii="Times New Roman" w:cs="Times New Roman" w:hAnsi="Times New Roman"/>
          <w:i/>
          <w:iCs/>
          <w:sz w:val="24"/>
          <w:szCs w:val="24"/>
        </w:rPr>
        <w:t>Canadian Journal of Civil Engineering</w:t>
      </w:r>
      <w:r>
        <w:rPr>
          <w:rFonts w:ascii="Times New Roman" w:cs="Times New Roman" w:hAnsi="Times New Roman"/>
          <w:sz w:val="24"/>
          <w:szCs w:val="24"/>
        </w:rPr>
        <w:t>, </w:t>
      </w:r>
      <w:r>
        <w:rPr>
          <w:rFonts w:ascii="Times New Roman" w:cs="Times New Roman" w:hAnsi="Times New Roman"/>
          <w:i/>
          <w:iCs/>
          <w:sz w:val="24"/>
          <w:szCs w:val="24"/>
        </w:rPr>
        <w:t>41</w:t>
      </w:r>
      <w:r>
        <w:rPr>
          <w:rFonts w:ascii="Times New Roman" w:cs="Times New Roman" w:hAnsi="Times New Roman"/>
          <w:sz w:val="24"/>
          <w:szCs w:val="24"/>
        </w:rPr>
        <w:t>(4), 285-293.</w:t>
      </w:r>
      <w:r>
        <w:rPr/>
        <w:fldChar w:fldCharType="begin"/>
      </w:r>
      <w:r>
        <w:instrText xml:space="preserve"> HYPERLINK "https://doi.org/10.1139/cjce-2013-0465" </w:instrText>
      </w:r>
      <w:r>
        <w:rPr/>
        <w:fldChar w:fldCharType="separate"/>
      </w:r>
      <w:r>
        <w:rPr>
          <w:rStyle w:val="style85"/>
          <w:rFonts w:ascii="Times New Roman" w:cs="Times New Roman" w:hAnsi="Times New Roman"/>
          <w:sz w:val="24"/>
          <w:szCs w:val="24"/>
        </w:rPr>
        <w:t>https://doi.org/10.1139/cjce-2013-0465</w:t>
      </w:r>
      <w:r>
        <w:rPr/>
        <w:fldChar w:fldCharType="end"/>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Wieditz</w:t>
      </w:r>
      <w:r>
        <w:rPr>
          <w:rFonts w:ascii="Times New Roman" w:cs="Times New Roman" w:hAnsi="Times New Roman"/>
          <w:sz w:val="24"/>
          <w:szCs w:val="24"/>
        </w:rPr>
        <w:t xml:space="preserve">, I., &amp; Penney, J. (2006). A Scan of Climate Change Impacts in Toronto. Clean Air Partnership.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1"/>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Appendix A</w:t>
      </w:r>
    </w:p>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Dimensions of the Building </w:t>
      </w:r>
    </w:p>
    <w:p>
      <w:pPr>
        <w:pStyle w:val="style179"/>
        <w:numPr>
          <w:ilvl w:val="1"/>
          <w:numId w:val="7"/>
        </w:numPr>
        <w:spacing w:lineRule="auto" w:line="480"/>
        <w:rPr>
          <w:rFonts w:ascii="Times New Roman" w:cs="Times New Roman" w:hAnsi="Times New Roman"/>
          <w:sz w:val="24"/>
          <w:szCs w:val="24"/>
        </w:rPr>
      </w:pPr>
      <w:r>
        <w:rPr>
          <w:rFonts w:ascii="Times New Roman" w:cs="Times New Roman" w:hAnsi="Times New Roman"/>
          <w:sz w:val="24"/>
          <w:szCs w:val="24"/>
        </w:rPr>
        <w:t xml:space="preserve">The building has 812638 sq. ft. </w:t>
      </w:r>
    </w:p>
    <w:p>
      <w:pPr>
        <w:pStyle w:val="style179"/>
        <w:numPr>
          <w:ilvl w:val="1"/>
          <w:numId w:val="7"/>
        </w:numPr>
        <w:spacing w:lineRule="auto" w:line="480"/>
        <w:rPr>
          <w:rFonts w:ascii="Times New Roman" w:cs="Times New Roman" w:hAnsi="Times New Roman"/>
          <w:sz w:val="24"/>
          <w:szCs w:val="24"/>
        </w:rPr>
      </w:pPr>
      <w:r>
        <w:rPr>
          <w:rFonts w:ascii="Times New Roman" w:cs="Times New Roman" w:hAnsi="Times New Roman"/>
          <w:sz w:val="24"/>
          <w:szCs w:val="24"/>
        </w:rPr>
        <w:t xml:space="preserve">Ventilation – there are 2 makeup air units, a variable air volume floor air distribution and variable fan drives. </w:t>
      </w:r>
    </w:p>
    <w:p>
      <w:pPr>
        <w:pStyle w:val="style179"/>
        <w:numPr>
          <w:ilvl w:val="1"/>
          <w:numId w:val="7"/>
        </w:numPr>
        <w:spacing w:lineRule="auto" w:line="480"/>
        <w:rPr>
          <w:rFonts w:ascii="Times New Roman" w:cs="Times New Roman" w:hAnsi="Times New Roman"/>
          <w:sz w:val="24"/>
          <w:szCs w:val="24"/>
        </w:rPr>
      </w:pPr>
      <w:r>
        <w:rPr>
          <w:rFonts w:ascii="Times New Roman" w:cs="Times New Roman" w:hAnsi="Times New Roman"/>
          <w:sz w:val="24"/>
          <w:szCs w:val="24"/>
        </w:rPr>
        <w:t xml:space="preserve">There are 4 feet lighting fixtures with a generic electric lighting control. </w:t>
      </w:r>
    </w:p>
    <w:p>
      <w:pPr>
        <w:pStyle w:val="style179"/>
        <w:numPr>
          <w:ilvl w:val="1"/>
          <w:numId w:val="7"/>
        </w:numPr>
        <w:spacing w:lineRule="auto" w:line="480"/>
        <w:rPr>
          <w:rFonts w:ascii="Times New Roman" w:cs="Times New Roman" w:hAnsi="Times New Roman"/>
          <w:sz w:val="24"/>
          <w:szCs w:val="24"/>
        </w:rPr>
      </w:pPr>
      <w:r>
        <w:rPr>
          <w:rFonts w:ascii="Times New Roman" w:cs="Times New Roman" w:hAnsi="Times New Roman"/>
          <w:sz w:val="24"/>
          <w:szCs w:val="24"/>
        </w:rPr>
        <w:t xml:space="preserve">Of the total </w:t>
      </w:r>
      <w:r>
        <w:rPr>
          <w:rFonts w:ascii="Times New Roman" w:cs="Times New Roman" w:hAnsi="Times New Roman"/>
          <w:sz w:val="24"/>
          <w:szCs w:val="24"/>
          <w:lang w:val="en-CA"/>
        </w:rPr>
        <w:t xml:space="preserve">is suffice </w:t>
      </w:r>
      <w:r>
        <w:rPr>
          <w:rFonts w:ascii="Times New Roman" w:cs="Times New Roman" w:hAnsi="Times New Roman"/>
          <w:sz w:val="24"/>
          <w:szCs w:val="24"/>
        </w:rPr>
        <w:t xml:space="preserve">the area is divided into 8 sections: </w:t>
      </w:r>
    </w:p>
    <w:tbl>
      <w:tblPr>
        <w:tblStyle w:val="style154"/>
        <w:tblW w:w="9358" w:type="dxa"/>
        <w:tblInd w:w="85" w:type="dxa"/>
        <w:tblLook w:val="04A0" w:firstRow="1" w:lastRow="0" w:firstColumn="1" w:lastColumn="0" w:noHBand="0" w:noVBand="1"/>
      </w:tblPr>
      <w:tblGrid>
        <w:gridCol w:w="1146"/>
        <w:gridCol w:w="1116"/>
        <w:gridCol w:w="1509"/>
        <w:gridCol w:w="996"/>
        <w:gridCol w:w="1363"/>
        <w:gridCol w:w="1116"/>
        <w:gridCol w:w="1116"/>
        <w:gridCol w:w="996"/>
      </w:tblGrid>
      <w:tr>
        <w:trPr>
          <w:trHeight w:val="736" w:hRule="atLeast"/>
        </w:trPr>
        <w:tc>
          <w:tcPr>
            <w:tcW w:w="114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financial services section </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legal services section </w:t>
            </w:r>
          </w:p>
        </w:tc>
        <w:tc>
          <w:tcPr>
            <w:tcW w:w="1509"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Real estate and infrastructure </w:t>
            </w:r>
          </w:p>
        </w:tc>
        <w:tc>
          <w:tcPr>
            <w:tcW w:w="99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fitness center section </w:t>
            </w:r>
          </w:p>
        </w:tc>
        <w:tc>
          <w:tcPr>
            <w:tcW w:w="1363"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government section</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Medical services section </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IT services section </w:t>
            </w:r>
          </w:p>
        </w:tc>
        <w:tc>
          <w:tcPr>
            <w:tcW w:w="99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Other sections </w:t>
            </w:r>
          </w:p>
        </w:tc>
      </w:tr>
      <w:tr>
        <w:tblPrEx/>
        <w:trPr>
          <w:trHeight w:val="241" w:hRule="atLeast"/>
        </w:trPr>
        <w:tc>
          <w:tcPr>
            <w:tcW w:w="114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67%</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9%</w:t>
            </w:r>
          </w:p>
        </w:tc>
        <w:tc>
          <w:tcPr>
            <w:tcW w:w="1509"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8%</w:t>
            </w:r>
          </w:p>
        </w:tc>
        <w:tc>
          <w:tcPr>
            <w:tcW w:w="99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5%</w:t>
            </w:r>
          </w:p>
        </w:tc>
        <w:tc>
          <w:tcPr>
            <w:tcW w:w="1363"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4%</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4%</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3%</w:t>
            </w:r>
          </w:p>
        </w:tc>
        <w:tc>
          <w:tcPr>
            <w:tcW w:w="99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1%</w:t>
            </w:r>
          </w:p>
        </w:tc>
      </w:tr>
      <w:tr>
        <w:tblPrEx/>
        <w:trPr>
          <w:trHeight w:val="482" w:hRule="atLeast"/>
        </w:trPr>
        <w:tc>
          <w:tcPr>
            <w:tcW w:w="114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544467.46 </w:t>
            </w:r>
            <w:r>
              <w:rPr>
                <w:rFonts w:ascii="Times New Roman" w:cs="Times New Roman" w:hAnsi="Times New Roman"/>
                <w:sz w:val="24"/>
                <w:szCs w:val="24"/>
              </w:rPr>
              <w:t>sq.ft</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73137.42 </w:t>
            </w:r>
            <w:r>
              <w:rPr>
                <w:rFonts w:ascii="Times New Roman" w:cs="Times New Roman" w:hAnsi="Times New Roman"/>
                <w:sz w:val="24"/>
                <w:szCs w:val="24"/>
              </w:rPr>
              <w:t>sq.ft</w:t>
            </w:r>
          </w:p>
        </w:tc>
        <w:tc>
          <w:tcPr>
            <w:tcW w:w="1509"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65011.04 </w:t>
            </w:r>
            <w:r>
              <w:rPr>
                <w:rFonts w:ascii="Times New Roman" w:cs="Times New Roman" w:hAnsi="Times New Roman"/>
                <w:sz w:val="24"/>
                <w:szCs w:val="24"/>
              </w:rPr>
              <w:t>sq.ft</w:t>
            </w:r>
          </w:p>
        </w:tc>
        <w:tc>
          <w:tcPr>
            <w:tcW w:w="99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40631.9 </w:t>
            </w:r>
            <w:r>
              <w:rPr>
                <w:rFonts w:ascii="Times New Roman" w:cs="Times New Roman" w:hAnsi="Times New Roman"/>
                <w:sz w:val="24"/>
                <w:szCs w:val="24"/>
              </w:rPr>
              <w:t>sq.ft</w:t>
            </w:r>
          </w:p>
        </w:tc>
        <w:tc>
          <w:tcPr>
            <w:tcW w:w="1363"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32505.52 </w:t>
            </w:r>
            <w:r>
              <w:rPr>
                <w:rFonts w:ascii="Times New Roman" w:cs="Times New Roman" w:hAnsi="Times New Roman"/>
                <w:sz w:val="24"/>
                <w:szCs w:val="24"/>
              </w:rPr>
              <w:t>sq.ft</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32505.52 </w:t>
            </w:r>
            <w:r>
              <w:rPr>
                <w:rFonts w:ascii="Times New Roman" w:cs="Times New Roman" w:hAnsi="Times New Roman"/>
                <w:sz w:val="24"/>
                <w:szCs w:val="24"/>
              </w:rPr>
              <w:t>sq.ft</w:t>
            </w:r>
          </w:p>
        </w:tc>
        <w:tc>
          <w:tcPr>
            <w:tcW w:w="111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24397.14 </w:t>
            </w:r>
            <w:r>
              <w:rPr>
                <w:rFonts w:ascii="Times New Roman" w:cs="Times New Roman" w:hAnsi="Times New Roman"/>
                <w:sz w:val="24"/>
                <w:szCs w:val="24"/>
              </w:rPr>
              <w:t>sq.ft</w:t>
            </w:r>
          </w:p>
        </w:tc>
        <w:tc>
          <w:tcPr>
            <w:tcW w:w="996" w:type="dxa"/>
            <w:tcBorders>
              <w:top w:val="single" w:sz="4" w:space="0" w:color="auto"/>
              <w:left w:val="single" w:sz="4" w:space="0" w:color="auto"/>
              <w:bottom w:val="single" w:sz="4" w:space="0" w:color="auto"/>
              <w:right w:val="single" w:sz="4" w:space="0" w:color="auto"/>
            </w:tcBorders>
            <w:hideMark/>
          </w:tcPr>
          <w:p>
            <w:pPr>
              <w:pStyle w:val="style179"/>
              <w:spacing w:lineRule="auto" w:line="480"/>
              <w:ind w:left="0"/>
              <w:rPr>
                <w:rFonts w:ascii="Times New Roman" w:cs="Times New Roman" w:hAnsi="Times New Roman"/>
                <w:sz w:val="24"/>
                <w:szCs w:val="24"/>
              </w:rPr>
            </w:pPr>
            <w:r>
              <w:rPr>
                <w:rFonts w:ascii="Times New Roman" w:cs="Times New Roman" w:hAnsi="Times New Roman"/>
                <w:sz w:val="24"/>
                <w:szCs w:val="24"/>
              </w:rPr>
              <w:t xml:space="preserve">8126.38 </w:t>
            </w:r>
            <w:r>
              <w:rPr>
                <w:rFonts w:ascii="Times New Roman" w:cs="Times New Roman" w:hAnsi="Times New Roman"/>
                <w:sz w:val="24"/>
                <w:szCs w:val="24"/>
              </w:rPr>
              <w:t>sq.ft</w:t>
            </w:r>
          </w:p>
        </w:tc>
      </w:tr>
    </w:tbl>
    <w:p>
      <w:pPr>
        <w:pStyle w:val="style2"/>
        <w:numPr>
          <w:ilvl w:val="1"/>
          <w:numId w:val="1"/>
        </w:numPr>
        <w:spacing w:lineRule="auto" w:line="480"/>
        <w:rPr>
          <w:rFonts w:ascii="Times New Roman" w:cs="Times New Roman" w:hAnsi="Times New Roman"/>
          <w:sz w:val="24"/>
          <w:szCs w:val="24"/>
        </w:rPr>
      </w:pPr>
      <w:r>
        <w:rPr>
          <w:rFonts w:ascii="Times New Roman" w:cs="Times New Roman" w:hAnsi="Times New Roman"/>
          <w:sz w:val="24"/>
          <w:szCs w:val="24"/>
        </w:rPr>
        <w:t xml:space="preserve">Blueprints </w:t>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5683348" cy="3826412"/>
            <wp:effectExtent l="0" t="0" r="0" b="317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3948" t="23261" r="-5" b="47991"/>
                    <a:stretch/>
                  </pic:blipFill>
                  <pic:spPr>
                    <a:xfrm rot="0">
                      <a:off x="0" y="0"/>
                      <a:ext cx="5683348" cy="3826412"/>
                    </a:xfrm>
                    <a:prstGeom prst="rect"/>
                    <a:ln>
                      <a:noFill/>
                    </a:ln>
                  </pic:spPr>
                </pic:pic>
              </a:graphicData>
            </a:graphic>
          </wp:inline>
        </w:drawing>
      </w:r>
      <w:r>
        <w:rPr>
          <w:rFonts w:ascii="Times New Roman" w:cs="Times New Roman" w:hAnsi="Times New Roman"/>
          <w:noProof/>
          <w:sz w:val="24"/>
          <w:szCs w:val="24"/>
        </w:rPr>
        <w:drawing>
          <wp:inline distL="0" distT="0" distB="0" distR="0">
            <wp:extent cx="5725551" cy="3571616"/>
            <wp:effectExtent l="0" t="0" r="8890"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5725551" cy="3571616"/>
                    </a:xfrm>
                    <a:prstGeom prst="rect"/>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5289452" cy="3624435"/>
            <wp:effectExtent l="0" t="0" r="6985" b="0"/>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5289452" cy="3624435"/>
                    </a:xfrm>
                    <a:prstGeom prst="rect"/>
                  </pic:spPr>
                </pic:pic>
              </a:graphicData>
            </a:graphic>
          </wp:inline>
        </w:drawing>
      </w:r>
    </w:p>
    <w:p>
      <w:pPr>
        <w:pStyle w:val="style0"/>
        <w:spacing w:lineRule="auto" w:line="480"/>
        <w:rPr>
          <w:rFonts w:ascii="Times New Roman" w:cs="Times New Roman" w:hAnsi="Times New Roman"/>
          <w:sz w:val="24"/>
          <w:szCs w:val="24"/>
        </w:rPr>
      </w:pPr>
      <w:r>
        <w:rPr>
          <w:rFonts w:ascii="Times New Roman" w:cs="Times New Roman" w:hAnsi="Times New Roman"/>
          <w:noProof/>
          <w:sz w:val="24"/>
          <w:szCs w:val="24"/>
        </w:rPr>
        <w:drawing>
          <wp:inline distL="0" distT="0" distB="0" distR="0">
            <wp:extent cx="6449597" cy="3128213"/>
            <wp:effectExtent l="0" t="0" r="8890" b="0"/>
            <wp:docPr id="1029"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5" cstate="print"/>
                    <a:srcRect l="0" t="0" r="0" b="0"/>
                    <a:stretch/>
                  </pic:blipFill>
                  <pic:spPr>
                    <a:xfrm rot="0">
                      <a:off x="0" y="0"/>
                      <a:ext cx="6449597" cy="3128213"/>
                    </a:xfrm>
                    <a:prstGeom prst="rect"/>
                  </pic:spPr>
                </pic:pic>
              </a:graphicData>
            </a:graphic>
          </wp:inline>
        </w:drawing>
      </w: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sectPr>
      <w:headerReference w:type="default" r:id="rId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t>PREVENTION OF CARBON EMISSIONS FROM 250 YONGE STREET BUILDING</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3F786C0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0000001"/>
    <w:multiLevelType w:val="hybridMultilevel"/>
    <w:tmpl w:val="C56A0588"/>
    <w:lvl w:ilvl="0" w:tplc="0F54671E">
      <w:start w:val="1"/>
      <w:numFmt w:val="bullet"/>
      <w:lvlText w:val=""/>
      <w:lvlJc w:val="left"/>
      <w:pPr>
        <w:ind w:left="720" w:hanging="360"/>
      </w:pPr>
      <w:rPr>
        <w:rFonts w:ascii="Symbol" w:hAnsi="Symbol" w:hint="default"/>
      </w:rPr>
    </w:lvl>
    <w:lvl w:ilvl="1" w:tplc="779AE5B0">
      <w:start w:val="1"/>
      <w:numFmt w:val="bullet"/>
      <w:lvlText w:val="o"/>
      <w:lvlJc w:val="left"/>
      <w:pPr>
        <w:ind w:left="1440" w:hanging="360"/>
      </w:pPr>
      <w:rPr>
        <w:rFonts w:ascii="Courier New" w:cs="Courier New" w:hAnsi="Courier New" w:hint="default"/>
      </w:rPr>
    </w:lvl>
    <w:lvl w:ilvl="2" w:tplc="4BA0C12A">
      <w:start w:val="1"/>
      <w:numFmt w:val="bullet"/>
      <w:lvlText w:val=""/>
      <w:lvlJc w:val="left"/>
      <w:pPr>
        <w:ind w:left="2160" w:hanging="360"/>
      </w:pPr>
      <w:rPr>
        <w:rFonts w:ascii="Wingdings" w:hAnsi="Wingdings" w:hint="default"/>
      </w:rPr>
    </w:lvl>
    <w:lvl w:ilvl="3" w:tplc="13A2760A">
      <w:start w:val="1"/>
      <w:numFmt w:val="bullet"/>
      <w:lvlText w:val=""/>
      <w:lvlJc w:val="left"/>
      <w:pPr>
        <w:ind w:left="2880" w:hanging="360"/>
      </w:pPr>
      <w:rPr>
        <w:rFonts w:ascii="Symbol" w:hAnsi="Symbol" w:hint="default"/>
      </w:rPr>
    </w:lvl>
    <w:lvl w:ilvl="4" w:tplc="004E1F4E">
      <w:start w:val="1"/>
      <w:numFmt w:val="bullet"/>
      <w:lvlText w:val="o"/>
      <w:lvlJc w:val="left"/>
      <w:pPr>
        <w:ind w:left="3600" w:hanging="360"/>
      </w:pPr>
      <w:rPr>
        <w:rFonts w:ascii="Courier New" w:cs="Courier New" w:hAnsi="Courier New" w:hint="default"/>
      </w:rPr>
    </w:lvl>
    <w:lvl w:ilvl="5" w:tplc="7A1C1C54">
      <w:start w:val="1"/>
      <w:numFmt w:val="bullet"/>
      <w:lvlText w:val=""/>
      <w:lvlJc w:val="left"/>
      <w:pPr>
        <w:ind w:left="4320" w:hanging="360"/>
      </w:pPr>
      <w:rPr>
        <w:rFonts w:ascii="Wingdings" w:hAnsi="Wingdings" w:hint="default"/>
      </w:rPr>
    </w:lvl>
    <w:lvl w:ilvl="6" w:tplc="1BF28CB0">
      <w:start w:val="1"/>
      <w:numFmt w:val="bullet"/>
      <w:lvlText w:val=""/>
      <w:lvlJc w:val="left"/>
      <w:pPr>
        <w:ind w:left="5040" w:hanging="360"/>
      </w:pPr>
      <w:rPr>
        <w:rFonts w:ascii="Symbol" w:hAnsi="Symbol" w:hint="default"/>
      </w:rPr>
    </w:lvl>
    <w:lvl w:ilvl="7" w:tplc="DCA42A28">
      <w:start w:val="1"/>
      <w:numFmt w:val="bullet"/>
      <w:lvlText w:val="o"/>
      <w:lvlJc w:val="left"/>
      <w:pPr>
        <w:ind w:left="5760" w:hanging="360"/>
      </w:pPr>
      <w:rPr>
        <w:rFonts w:ascii="Courier New" w:cs="Courier New" w:hAnsi="Courier New" w:hint="default"/>
      </w:rPr>
    </w:lvl>
    <w:lvl w:ilvl="8" w:tplc="B2F85836">
      <w:start w:val="1"/>
      <w:numFmt w:val="bullet"/>
      <w:lvlText w:val=""/>
      <w:lvlJc w:val="left"/>
      <w:pPr>
        <w:ind w:left="6480" w:hanging="360"/>
      </w:pPr>
      <w:rPr>
        <w:rFonts w:ascii="Wingdings" w:hAnsi="Wingdings" w:hint="default"/>
      </w:rPr>
    </w:lvl>
  </w:abstractNum>
  <w:abstractNum w:abstractNumId="2">
    <w:nsid w:val="00000002"/>
    <w:multiLevelType w:val="hybridMultilevel"/>
    <w:tmpl w:val="3018534A"/>
    <w:lvl w:ilvl="0" w:tplc="1398298E">
      <w:start w:val="1"/>
      <w:numFmt w:val="bullet"/>
      <w:lvlText w:val=""/>
      <w:lvlJc w:val="left"/>
      <w:pPr>
        <w:ind w:left="720" w:hanging="360"/>
      </w:pPr>
      <w:rPr>
        <w:rFonts w:ascii="Symbol" w:hAnsi="Symbol" w:hint="default"/>
      </w:rPr>
    </w:lvl>
    <w:lvl w:ilvl="1" w:tplc="B6849562">
      <w:start w:val="1"/>
      <w:numFmt w:val="bullet"/>
      <w:lvlText w:val="o"/>
      <w:lvlJc w:val="left"/>
      <w:pPr>
        <w:ind w:left="1440" w:hanging="360"/>
      </w:pPr>
      <w:rPr>
        <w:rFonts w:ascii="Courier New" w:cs="Courier New" w:hAnsi="Courier New" w:hint="default"/>
      </w:rPr>
    </w:lvl>
    <w:lvl w:ilvl="2" w:tplc="3CB0B3D2">
      <w:start w:val="1"/>
      <w:numFmt w:val="bullet"/>
      <w:lvlText w:val=""/>
      <w:lvlJc w:val="left"/>
      <w:pPr>
        <w:ind w:left="2160" w:hanging="360"/>
      </w:pPr>
      <w:rPr>
        <w:rFonts w:ascii="Wingdings" w:hAnsi="Wingdings" w:hint="default"/>
      </w:rPr>
    </w:lvl>
    <w:lvl w:ilvl="3" w:tplc="339EC4F8">
      <w:start w:val="1"/>
      <w:numFmt w:val="bullet"/>
      <w:lvlText w:val=""/>
      <w:lvlJc w:val="left"/>
      <w:pPr>
        <w:ind w:left="2880" w:hanging="360"/>
      </w:pPr>
      <w:rPr>
        <w:rFonts w:ascii="Symbol" w:hAnsi="Symbol" w:hint="default"/>
      </w:rPr>
    </w:lvl>
    <w:lvl w:ilvl="4" w:tplc="DAE03C60">
      <w:start w:val="1"/>
      <w:numFmt w:val="bullet"/>
      <w:lvlText w:val="o"/>
      <w:lvlJc w:val="left"/>
      <w:pPr>
        <w:ind w:left="3600" w:hanging="360"/>
      </w:pPr>
      <w:rPr>
        <w:rFonts w:ascii="Courier New" w:cs="Courier New" w:hAnsi="Courier New" w:hint="default"/>
      </w:rPr>
    </w:lvl>
    <w:lvl w:ilvl="5" w:tplc="B3DC6FC8">
      <w:start w:val="1"/>
      <w:numFmt w:val="bullet"/>
      <w:lvlText w:val=""/>
      <w:lvlJc w:val="left"/>
      <w:pPr>
        <w:ind w:left="4320" w:hanging="360"/>
      </w:pPr>
      <w:rPr>
        <w:rFonts w:ascii="Wingdings" w:hAnsi="Wingdings" w:hint="default"/>
      </w:rPr>
    </w:lvl>
    <w:lvl w:ilvl="6" w:tplc="EE6894F4">
      <w:start w:val="1"/>
      <w:numFmt w:val="bullet"/>
      <w:lvlText w:val=""/>
      <w:lvlJc w:val="left"/>
      <w:pPr>
        <w:ind w:left="5040" w:hanging="360"/>
      </w:pPr>
      <w:rPr>
        <w:rFonts w:ascii="Symbol" w:hAnsi="Symbol" w:hint="default"/>
      </w:rPr>
    </w:lvl>
    <w:lvl w:ilvl="7" w:tplc="03BED9E4">
      <w:start w:val="1"/>
      <w:numFmt w:val="bullet"/>
      <w:lvlText w:val="o"/>
      <w:lvlJc w:val="left"/>
      <w:pPr>
        <w:ind w:left="5760" w:hanging="360"/>
      </w:pPr>
      <w:rPr>
        <w:rFonts w:ascii="Courier New" w:cs="Courier New" w:hAnsi="Courier New" w:hint="default"/>
      </w:rPr>
    </w:lvl>
    <w:lvl w:ilvl="8" w:tplc="7F0431E4">
      <w:start w:val="1"/>
      <w:numFmt w:val="bullet"/>
      <w:lvlText w:val=""/>
      <w:lvlJc w:val="left"/>
      <w:pPr>
        <w:ind w:left="6480" w:hanging="360"/>
      </w:pPr>
      <w:rPr>
        <w:rFonts w:ascii="Wingdings" w:hAnsi="Wingdings" w:hint="default"/>
      </w:rPr>
    </w:lvl>
  </w:abstractNum>
  <w:abstractNum w:abstractNumId="3">
    <w:nsid w:val="00000003"/>
    <w:multiLevelType w:val="multilevel"/>
    <w:tmpl w:val="C574649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0000004"/>
    <w:multiLevelType w:val="multilevel"/>
    <w:tmpl w:val="E2B4A55C"/>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00000005"/>
    <w:multiLevelType w:val="multilevel"/>
    <w:tmpl w:val="CE68260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5"/>
  </w:num>
  <w:num w:numId="2">
    <w:abstractNumId w:val="3"/>
  </w:num>
  <w:num w:numId="3">
    <w:abstractNumId w:val="0"/>
  </w:num>
  <w:num w:numId="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240" w:after="0"/>
      <w:outlineLvl w:val="0"/>
    </w:pPr>
    <w:rPr>
      <w:rFonts w:ascii="Calibri Light" w:cs="宋体" w:eastAsia="宋体" w:hAnsi="Calibri Light"/>
      <w:color w:val="2f5496"/>
      <w:sz w:val="32"/>
      <w:szCs w:val="32"/>
    </w:rPr>
  </w:style>
  <w:style w:type="paragraph" w:styleId="style2">
    <w:name w:val="heading 2"/>
    <w:basedOn w:val="style0"/>
    <w:next w:val="style0"/>
    <w:link w:val="style4098"/>
    <w:qFormat/>
    <w:uiPriority w:val="9"/>
    <w:pPr>
      <w:keepNext/>
      <w:keepLines/>
      <w:spacing w:before="40" w:after="0"/>
      <w:outlineLvl w:val="1"/>
    </w:pPr>
    <w:rPr>
      <w:rFonts w:ascii="Calibri Light" w:cs="宋体" w:eastAsia="宋体" w:hAnsi="Calibri Light"/>
      <w:color w:val="2f5496"/>
      <w:sz w:val="26"/>
      <w:szCs w:val="26"/>
    </w:rPr>
  </w:style>
  <w:style w:type="paragraph" w:styleId="style3">
    <w:name w:val="heading 3"/>
    <w:basedOn w:val="style0"/>
    <w:next w:val="style0"/>
    <w:link w:val="style4101"/>
    <w:qFormat/>
    <w:uiPriority w:val="9"/>
    <w:pPr>
      <w:keepNext/>
      <w:keepLines/>
      <w:spacing w:before="40" w:after="0"/>
      <w:outlineLvl w:val="2"/>
    </w:pPr>
    <w:rPr>
      <w:rFonts w:ascii="Calibri Light" w:cs="宋体" w:eastAsia="宋体" w:hAnsi="Calibri Light"/>
      <w:color w:val="1f3763"/>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customStyle="1" w:styleId="style4097">
    <w:name w:val="Heading 1 Char_30772ab5-07bc-4481-bc48-38e3513c4d6f"/>
    <w:basedOn w:val="style65"/>
    <w:next w:val="style4097"/>
    <w:link w:val="style1"/>
    <w:uiPriority w:val="9"/>
    <w:rPr>
      <w:rFonts w:ascii="Calibri Light" w:cs="宋体" w:eastAsia="宋体" w:hAnsi="Calibri Light"/>
      <w:color w:val="2f5496"/>
      <w:sz w:val="32"/>
      <w:szCs w:val="32"/>
    </w:rPr>
  </w:style>
  <w:style w:type="character" w:customStyle="1" w:styleId="style4098">
    <w:name w:val="Heading 2 Char_213d2a69-1022-44cc-a06c-b8bc2241a58b"/>
    <w:basedOn w:val="style65"/>
    <w:next w:val="style4098"/>
    <w:link w:val="style2"/>
    <w:uiPriority w:val="9"/>
    <w:rPr>
      <w:rFonts w:ascii="Calibri Light" w:cs="宋体" w:eastAsia="宋体" w:hAnsi="Calibri Light"/>
      <w:color w:val="2f5496"/>
      <w:sz w:val="26"/>
      <w:szCs w:val="26"/>
    </w:rPr>
  </w:style>
  <w:style w:type="paragraph" w:styleId="style30">
    <w:name w:val="annotation text"/>
    <w:basedOn w:val="style0"/>
    <w:next w:val="style30"/>
    <w:link w:val="style4099"/>
    <w:uiPriority w:val="99"/>
    <w:pPr>
      <w:spacing w:lineRule="auto" w:line="240"/>
    </w:pPr>
    <w:rPr>
      <w:sz w:val="20"/>
      <w:szCs w:val="20"/>
    </w:rPr>
  </w:style>
  <w:style w:type="character" w:customStyle="1" w:styleId="style4099">
    <w:name w:val="Comment Text Char"/>
    <w:basedOn w:val="style65"/>
    <w:next w:val="style4099"/>
    <w:link w:val="style30"/>
    <w:uiPriority w:val="99"/>
    <w:rPr>
      <w:sz w:val="20"/>
      <w:szCs w:val="20"/>
    </w:rPr>
  </w:style>
  <w:style w:type="character" w:styleId="style39">
    <w:name w:val="annotation reference"/>
    <w:basedOn w:val="style65"/>
    <w:next w:val="style39"/>
    <w:uiPriority w:val="99"/>
    <w:rPr>
      <w:sz w:val="16"/>
      <w:szCs w:val="16"/>
    </w:rPr>
  </w:style>
  <w:style w:type="paragraph" w:styleId="style153">
    <w:name w:val="Balloon Text"/>
    <w:basedOn w:val="style0"/>
    <w:next w:val="style153"/>
    <w:link w:val="style4100"/>
    <w:uiPriority w:val="99"/>
    <w:pPr>
      <w:spacing w:after="0" w:lineRule="auto" w:line="240"/>
    </w:pPr>
    <w:rPr>
      <w:rFonts w:ascii="Segoe UI" w:cs="Segoe UI" w:hAnsi="Segoe UI"/>
      <w:sz w:val="18"/>
      <w:szCs w:val="18"/>
    </w:rPr>
  </w:style>
  <w:style w:type="character" w:customStyle="1" w:styleId="style4100">
    <w:name w:val="Balloon Text Char"/>
    <w:basedOn w:val="style65"/>
    <w:next w:val="style4100"/>
    <w:link w:val="style153"/>
    <w:uiPriority w:val="99"/>
    <w:rPr>
      <w:rFonts w:ascii="Segoe UI" w:cs="Segoe UI" w:hAnsi="Segoe UI"/>
      <w:sz w:val="18"/>
      <w:szCs w:val="18"/>
    </w:rPr>
  </w:style>
  <w:style w:type="table" w:styleId="style154">
    <w:name w:val="Table Grid"/>
    <w:basedOn w:val="style105"/>
    <w:next w:val="style154"/>
    <w:uiPriority w:val="39"/>
    <w:pPr>
      <w:spacing w:after="0" w:lineRule="auto" w:line="240"/>
    </w:pP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01">
    <w:name w:val="Heading 3 Char_18609fb9-438b-4fa4-83a6-d606fde777e8"/>
    <w:basedOn w:val="style65"/>
    <w:next w:val="style4101"/>
    <w:link w:val="style3"/>
    <w:uiPriority w:val="9"/>
    <w:rPr>
      <w:rFonts w:ascii="Calibri Light" w:cs="宋体" w:eastAsia="宋体" w:hAnsi="Calibri Light"/>
      <w:color w:val="1f3763"/>
      <w:sz w:val="24"/>
      <w:szCs w:val="24"/>
    </w:rPr>
  </w:style>
  <w:style w:type="paragraph" w:styleId="style157">
    <w:name w:val="No Spacing"/>
    <w:next w:val="style157"/>
    <w:qFormat/>
    <w:uiPriority w:val="1"/>
    <w:pPr>
      <w:spacing w:after="0" w:lineRule="auto" w:line="240"/>
    </w:pPr>
    <w:rPr/>
  </w:style>
  <w:style w:type="character" w:styleId="style85">
    <w:name w:val="Hyperlink"/>
    <w:basedOn w:val="style65"/>
    <w:next w:val="style85"/>
    <w:uiPriority w:val="99"/>
    <w:rPr>
      <w:color w:val="0563c1"/>
      <w:u w:val="single"/>
    </w:rPr>
  </w:style>
  <w:style w:type="character" w:customStyle="1" w:styleId="style4102">
    <w:name w:val="Unresolved Mention"/>
    <w:basedOn w:val="style65"/>
    <w:next w:val="style4102"/>
    <w:uiPriority w:val="99"/>
    <w:rPr>
      <w:color w:val="605e5c"/>
      <w:shd w:val="clear" w:color="auto" w:fill="e1dfdd"/>
    </w:r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5297b0ce-a4ef-4c99-b80f-ddb624417f1d"/>
    <w:basedOn w:val="style65"/>
    <w:next w:val="style4103"/>
    <w:link w:val="style31"/>
    <w:uiPriority w:val="99"/>
  </w:style>
  <w:style w:type="paragraph" w:styleId="style32">
    <w:name w:val="footer"/>
    <w:basedOn w:val="style0"/>
    <w:next w:val="style32"/>
    <w:link w:val="style4104"/>
    <w:uiPriority w:val="99"/>
    <w:pPr>
      <w:tabs>
        <w:tab w:val="center" w:leader="none" w:pos="4680"/>
        <w:tab w:val="right" w:leader="none" w:pos="9360"/>
      </w:tabs>
      <w:spacing w:after="0" w:lineRule="auto" w:line="240"/>
    </w:pPr>
    <w:rPr/>
  </w:style>
  <w:style w:type="character" w:customStyle="1" w:styleId="style4104">
    <w:name w:val="Footer Char_3c7d967e-a867-41ae-b0f1-bd4e4e1efc1b"/>
    <w:basedOn w:val="style65"/>
    <w:next w:val="style4104"/>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image" Target="media/image4.png"/><Relationship Id="rId6" Type="http://schemas.openxmlformats.org/officeDocument/2006/relationships/header" Target="header1.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Words>2115</Words>
  <Pages>13</Pages>
  <Characters>11855</Characters>
  <Application>WPS Office</Application>
  <DocSecurity>0</DocSecurity>
  <Paragraphs>146</Paragraphs>
  <ScaleCrop>false</ScaleCrop>
  <LinksUpToDate>false</LinksUpToDate>
  <CharactersWithSpaces>13909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2020-11-25T05:53:00Z</dcterms:created>
  <dc:creator>lazarus junior</dc:creator>
  <lastModifiedBy>Infinix X650D</lastModifiedBy>
  <dcterms:modified xsi:type="dcterms:W3CDTF">2020-12-01T08:09:38Z</dcterms:modified>
  <revision>72</revision>
</coreProperties>
</file>

<file path=docProps/custom.xml><?xml version="1.0" encoding="utf-8"?>
<Properties xmlns="http://schemas.openxmlformats.org/officeDocument/2006/custom-properties" xmlns:vt="http://schemas.openxmlformats.org/officeDocument/2006/docPropsVTypes"/>
</file>